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ind w:left="545"/>
        <w:spacing w:before="283" w:line="219" w:lineRule="auto"/>
        <w:outlineLvl w:val="0"/>
        <w:rPr>
          <w:rFonts w:ascii="SimSun" w:hAnsi="SimSun" w:eastAsia="SimSun" w:cs="SimSun"/>
          <w:sz w:val="87"/>
          <w:szCs w:val="87"/>
        </w:rPr>
      </w:pPr>
      <w:r>
        <w:rPr>
          <w:rFonts w:ascii="SimSun" w:hAnsi="SimSun" w:eastAsia="SimSun" w:cs="SimSun"/>
          <w:sz w:val="87"/>
          <w:szCs w:val="87"/>
          <w:b/>
          <w:bCs/>
          <w:color w:val="F00010"/>
          <w:spacing w:val="-69"/>
        </w:rPr>
        <w:t>四川外国语大学文件</w:t>
      </w:r>
    </w:p>
    <w:p>
      <w:pPr>
        <w:pStyle w:val="BodyText"/>
        <w:spacing w:line="276" w:lineRule="auto"/>
        <w:rPr/>
      </w:pPr>
      <w:r/>
    </w:p>
    <w:p>
      <w:pPr>
        <w:pStyle w:val="BodyText"/>
        <w:spacing w:line="277" w:lineRule="auto"/>
        <w:rPr/>
      </w:pPr>
      <w:r/>
    </w:p>
    <w:p>
      <w:pPr>
        <w:ind w:left="3033"/>
        <w:spacing w:before="9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3"/>
        </w:rPr>
        <w:t>川外发〔2026〕53号</w:t>
      </w:r>
    </w:p>
    <w:p>
      <w:pPr>
        <w:ind w:firstLine="503"/>
        <w:spacing w:before="38" w:line="30" w:lineRule="exact"/>
        <w:rPr/>
      </w:pPr>
      <w:r>
        <w:rPr/>
        <w:drawing>
          <wp:inline distT="0" distB="0" distL="0" distR="0">
            <wp:extent cx="4591028" cy="1913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91028" cy="1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13" w:lineRule="auto"/>
        <w:rPr/>
      </w:pPr>
      <w:r/>
    </w:p>
    <w:p>
      <w:pPr>
        <w:pStyle w:val="BodyText"/>
        <w:spacing w:line="313" w:lineRule="auto"/>
        <w:rPr/>
      </w:pPr>
      <w:r/>
    </w:p>
    <w:p>
      <w:pPr>
        <w:pStyle w:val="BodyText"/>
        <w:spacing w:line="313" w:lineRule="auto"/>
        <w:rPr/>
      </w:pPr>
      <w:r/>
    </w:p>
    <w:p>
      <w:pPr>
        <w:ind w:left="2978"/>
        <w:spacing w:before="136" w:line="219" w:lineRule="auto"/>
        <w:rPr>
          <w:rFonts w:ascii="SimSun" w:hAnsi="SimSun" w:eastAsia="SimSun" w:cs="SimSun"/>
          <w:sz w:val="42"/>
          <w:szCs w:val="42"/>
        </w:rPr>
      </w:pPr>
      <w:r>
        <w:rPr>
          <w:rFonts w:ascii="SimSun" w:hAnsi="SimSun" w:eastAsia="SimSun" w:cs="SimSun"/>
          <w:sz w:val="42"/>
          <w:szCs w:val="42"/>
          <w:b/>
          <w:bCs/>
          <w:spacing w:val="-58"/>
        </w:rPr>
        <w:t>四川外国语大学</w:t>
      </w:r>
    </w:p>
    <w:p>
      <w:pPr>
        <w:ind w:left="1698"/>
        <w:spacing w:before="22" w:line="219" w:lineRule="auto"/>
        <w:rPr>
          <w:rFonts w:ascii="SimSun" w:hAnsi="SimSun" w:eastAsia="SimSun" w:cs="SimSun"/>
          <w:sz w:val="42"/>
          <w:szCs w:val="42"/>
        </w:rPr>
      </w:pPr>
      <w:r>
        <w:rPr>
          <w:rFonts w:ascii="SimSun" w:hAnsi="SimSun" w:eastAsia="SimSun" w:cs="SimSun"/>
          <w:sz w:val="42"/>
          <w:szCs w:val="42"/>
          <w:b/>
          <w:bCs/>
          <w:spacing w:val="-42"/>
          <w:w w:val="96"/>
        </w:rPr>
        <w:t>关于印发公用房管理办法的通知</w:t>
      </w:r>
    </w:p>
    <w:p>
      <w:pPr>
        <w:pStyle w:val="BodyText"/>
        <w:spacing w:line="304" w:lineRule="auto"/>
        <w:rPr/>
      </w:pPr>
      <w:r/>
    </w:p>
    <w:p>
      <w:pPr>
        <w:pStyle w:val="BodyText"/>
        <w:spacing w:line="305" w:lineRule="auto"/>
        <w:rPr/>
      </w:pPr>
      <w:r/>
    </w:p>
    <w:p>
      <w:pPr>
        <w:ind w:left="533"/>
        <w:spacing w:before="94" w:line="221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28"/>
        </w:rPr>
        <w:t>校属各单位：</w:t>
      </w:r>
    </w:p>
    <w:p>
      <w:pPr>
        <w:ind w:left="533" w:right="424" w:firstLine="485"/>
        <w:spacing w:before="186" w:line="343" w:lineRule="auto"/>
        <w:jc w:val="both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14"/>
        </w:rPr>
        <w:t>《四川外国语大学公用房管理办法》已经2026年7月1日学</w:t>
      </w:r>
      <w:r>
        <w:rPr>
          <w:rFonts w:ascii="FangSong" w:hAnsi="FangSong" w:eastAsia="FangSong" w:cs="FangSong"/>
          <w:sz w:val="29"/>
          <w:szCs w:val="29"/>
          <w:spacing w:val="15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5"/>
        </w:rPr>
        <w:t>校校长办公会2026年第21次会议审议通过，现印发给你们</w:t>
      </w:r>
      <w:r>
        <w:rPr>
          <w:rFonts w:ascii="FangSong" w:hAnsi="FangSong" w:eastAsia="FangSong" w:cs="FangSong"/>
          <w:sz w:val="29"/>
          <w:szCs w:val="29"/>
          <w:spacing w:val="-16"/>
        </w:rPr>
        <w:t>，请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24"/>
        </w:rPr>
        <w:t>遵照执行。</w:t>
      </w:r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ind w:left="4993"/>
        <w:spacing w:before="92" w:line="222" w:lineRule="auto"/>
        <w:rPr>
          <w:rFonts w:ascii="FangSong" w:hAnsi="FangSong" w:eastAsia="FangSong" w:cs="FangSong"/>
          <w:sz w:val="28"/>
          <w:szCs w:val="28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3132758</wp:posOffset>
            </wp:positionH>
            <wp:positionV relativeFrom="paragraph">
              <wp:posOffset>-608233</wp:posOffset>
            </wp:positionV>
            <wp:extent cx="1250970" cy="135881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50970" cy="1358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28"/>
          <w:szCs w:val="28"/>
          <w:spacing w:val="-13"/>
        </w:rPr>
        <w:t>四川外国语大学</w:t>
      </w:r>
    </w:p>
    <w:p>
      <w:pPr>
        <w:ind w:left="4963"/>
        <w:spacing w:before="193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33"/>
        </w:rPr>
        <w:t>2026年9月7日</w:t>
      </w:r>
    </w:p>
    <w:p>
      <w:pPr>
        <w:spacing w:line="222" w:lineRule="auto"/>
        <w:sectPr>
          <w:footerReference w:type="default" r:id="rId1"/>
          <w:pgSz w:w="11910" w:h="16840"/>
          <w:pgMar w:top="1431" w:right="1786" w:bottom="1900" w:left="1786" w:header="0" w:footer="162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pStyle w:val="BodyText"/>
        <w:spacing w:line="265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ind w:left="1489"/>
        <w:spacing w:before="143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49"/>
          <w:w w:val="98"/>
        </w:rPr>
        <w:t>四川外国语大学公用房管理办法</w:t>
      </w:r>
    </w:p>
    <w:p>
      <w:pPr>
        <w:pStyle w:val="BodyText"/>
        <w:spacing w:line="355" w:lineRule="auto"/>
        <w:rPr/>
      </w:pPr>
      <w:r/>
    </w:p>
    <w:p>
      <w:pPr>
        <w:pStyle w:val="BodyText"/>
        <w:spacing w:line="355" w:lineRule="auto"/>
        <w:rPr/>
      </w:pPr>
      <w:r/>
    </w:p>
    <w:p>
      <w:pPr>
        <w:ind w:left="3193"/>
        <w:spacing w:before="91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3"/>
        </w:rPr>
        <w:t>第一章</w:t>
      </w:r>
      <w:r>
        <w:rPr>
          <w:rFonts w:ascii="SimHei" w:hAnsi="SimHei" w:eastAsia="SimHei" w:cs="SimHei"/>
          <w:sz w:val="28"/>
          <w:szCs w:val="28"/>
          <w:spacing w:val="120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3"/>
        </w:rPr>
        <w:t>总</w:t>
      </w:r>
      <w:r>
        <w:rPr>
          <w:rFonts w:ascii="SimHei" w:hAnsi="SimHei" w:eastAsia="SimHei" w:cs="SimHei"/>
          <w:sz w:val="28"/>
          <w:szCs w:val="28"/>
          <w:spacing w:val="-3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3"/>
        </w:rPr>
        <w:t>则</w:t>
      </w:r>
    </w:p>
    <w:p>
      <w:pPr>
        <w:pStyle w:val="BodyText"/>
        <w:spacing w:line="247" w:lineRule="auto"/>
        <w:rPr/>
      </w:pPr>
      <w:r/>
    </w:p>
    <w:p>
      <w:pPr>
        <w:ind w:left="203" w:right="128" w:firstLine="570"/>
        <w:spacing w:before="94" w:line="318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9"/>
        </w:rPr>
        <w:t>第一条</w:t>
      </w:r>
      <w:r>
        <w:rPr>
          <w:rFonts w:ascii="SimHei" w:hAnsi="SimHei" w:eastAsia="SimHei" w:cs="SimHei"/>
          <w:sz w:val="29"/>
          <w:szCs w:val="29"/>
          <w:spacing w:val="-9"/>
        </w:rPr>
        <w:t xml:space="preserve">  </w:t>
      </w:r>
      <w:r>
        <w:rPr>
          <w:rFonts w:ascii="FangSong" w:hAnsi="FangSong" w:eastAsia="FangSong" w:cs="FangSong"/>
          <w:sz w:val="29"/>
          <w:szCs w:val="29"/>
          <w:spacing w:val="-9"/>
        </w:rPr>
        <w:t>为规范学校公用房管理，优化资源配置，提高使用</w:t>
      </w:r>
      <w:r>
        <w:rPr>
          <w:rFonts w:ascii="FangSong" w:hAnsi="FangSong" w:eastAsia="FangSong" w:cs="FangSong"/>
          <w:sz w:val="29"/>
          <w:szCs w:val="29"/>
          <w:spacing w:val="14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1"/>
        </w:rPr>
        <w:t>效益，保障学校事业可持续发展，根据《党政机关办公用房管理</w:t>
      </w:r>
      <w:r>
        <w:rPr>
          <w:rFonts w:ascii="FangSong" w:hAnsi="FangSong" w:eastAsia="FangSong" w:cs="FangSong"/>
          <w:sz w:val="29"/>
          <w:szCs w:val="29"/>
          <w:spacing w:val="7"/>
        </w:rPr>
        <w:t xml:space="preserve">  </w:t>
      </w:r>
      <w:r>
        <w:rPr>
          <w:rFonts w:ascii="FangSong" w:hAnsi="FangSong" w:eastAsia="FangSong" w:cs="FangSong"/>
          <w:sz w:val="29"/>
          <w:szCs w:val="29"/>
          <w:spacing w:val="-4"/>
        </w:rPr>
        <w:t>办法》(中办发〔2017〕70号)、《普通高等学校建筑面积指标》</w:t>
      </w:r>
      <w:r>
        <w:rPr>
          <w:rFonts w:ascii="FangSong" w:hAnsi="FangSong" w:eastAsia="FangSong" w:cs="FangSong"/>
          <w:sz w:val="29"/>
          <w:szCs w:val="29"/>
          <w:spacing w:val="11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6"/>
        </w:rPr>
        <w:t>(建标191—2018)、《重庆市市级党政机关和事业单位房屋资</w:t>
      </w:r>
      <w:r>
        <w:rPr>
          <w:rFonts w:ascii="FangSong" w:hAnsi="FangSong" w:eastAsia="FangSong" w:cs="FangSong"/>
          <w:sz w:val="29"/>
          <w:szCs w:val="29"/>
          <w:spacing w:val="18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15"/>
        </w:rPr>
        <w:t>产管理办法(试行)》(渝府办〔2025〕5号</w:t>
      </w:r>
      <w:r>
        <w:rPr>
          <w:rFonts w:ascii="FangSong" w:hAnsi="FangSong" w:eastAsia="FangSong" w:cs="FangSong"/>
          <w:sz w:val="29"/>
          <w:szCs w:val="29"/>
          <w:spacing w:val="14"/>
        </w:rPr>
        <w:t>)等有关规定，结</w:t>
      </w:r>
      <w:r>
        <w:rPr>
          <w:rFonts w:ascii="FangSong" w:hAnsi="FangSong" w:eastAsia="FangSong" w:cs="FangSong"/>
          <w:sz w:val="29"/>
          <w:szCs w:val="29"/>
        </w:rPr>
        <w:t xml:space="preserve">  </w:t>
      </w:r>
      <w:r>
        <w:rPr>
          <w:rFonts w:ascii="FangSong" w:hAnsi="FangSong" w:eastAsia="FangSong" w:cs="FangSong"/>
          <w:sz w:val="29"/>
          <w:szCs w:val="29"/>
          <w:spacing w:val="-13"/>
        </w:rPr>
        <w:t>合学校实际，制定本办法。</w:t>
      </w:r>
    </w:p>
    <w:p>
      <w:pPr>
        <w:ind w:left="203" w:right="252" w:firstLine="570"/>
        <w:spacing w:before="200" w:line="283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9"/>
        </w:rPr>
        <w:t>第二条</w:t>
      </w:r>
      <w:r>
        <w:rPr>
          <w:rFonts w:ascii="SimHei" w:hAnsi="SimHei" w:eastAsia="SimHei" w:cs="SimHei"/>
          <w:sz w:val="29"/>
          <w:szCs w:val="29"/>
          <w:spacing w:val="-9"/>
        </w:rPr>
        <w:t xml:space="preserve">  </w:t>
      </w:r>
      <w:r>
        <w:rPr>
          <w:rFonts w:ascii="FangSong" w:hAnsi="FangSong" w:eastAsia="FangSong" w:cs="FangSong"/>
          <w:sz w:val="29"/>
          <w:szCs w:val="29"/>
          <w:spacing w:val="-9"/>
        </w:rPr>
        <w:t>本办法所称公用房，是指产权归属学校所有的各类</w:t>
      </w:r>
      <w:r>
        <w:rPr>
          <w:rFonts w:ascii="FangSong" w:hAnsi="FangSong" w:eastAsia="FangSong" w:cs="FangSong"/>
          <w:sz w:val="29"/>
          <w:szCs w:val="29"/>
          <w:spacing w:val="12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1"/>
        </w:rPr>
        <w:t>公用房屋及其附属配套建筑(教工住宅除外)。</w:t>
      </w:r>
    </w:p>
    <w:p>
      <w:pPr>
        <w:ind w:left="203" w:right="123" w:firstLine="570"/>
        <w:spacing w:before="171" w:line="29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4"/>
        </w:rPr>
        <w:t>第三条</w:t>
      </w:r>
      <w:r>
        <w:rPr>
          <w:rFonts w:ascii="SimHei" w:hAnsi="SimHei" w:eastAsia="SimHei" w:cs="SimHei"/>
          <w:sz w:val="30"/>
          <w:szCs w:val="30"/>
          <w:spacing w:val="11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4"/>
        </w:rPr>
        <w:t>公用房管理遵循“统筹规划、分类管理、动态调配、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4"/>
        </w:rPr>
        <w:t>权责一致”的原则，在优先保障教学、科研及公共服务的前提下，</w:t>
      </w:r>
      <w:r>
        <w:rPr>
          <w:rFonts w:ascii="FangSong" w:hAnsi="FangSong" w:eastAsia="FangSong" w:cs="FangSong"/>
          <w:sz w:val="30"/>
          <w:szCs w:val="30"/>
          <w:spacing w:val="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根据学校发展规划，逐步推行定额管理与有偿使</w:t>
      </w:r>
      <w:r>
        <w:rPr>
          <w:rFonts w:ascii="FangSong" w:hAnsi="FangSong" w:eastAsia="FangSong" w:cs="FangSong"/>
          <w:sz w:val="30"/>
          <w:szCs w:val="30"/>
          <w:spacing w:val="-22"/>
        </w:rPr>
        <w:t>用机制。</w:t>
      </w:r>
    </w:p>
    <w:p>
      <w:pPr>
        <w:pStyle w:val="BodyText"/>
        <w:spacing w:line="259" w:lineRule="auto"/>
        <w:rPr/>
      </w:pPr>
      <w:r/>
    </w:p>
    <w:p>
      <w:pPr>
        <w:ind w:left="2893"/>
        <w:spacing w:before="91" w:line="220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3"/>
        </w:rPr>
        <w:t>第二章</w:t>
      </w:r>
      <w:r>
        <w:rPr>
          <w:rFonts w:ascii="SimHei" w:hAnsi="SimHei" w:eastAsia="SimHei" w:cs="SimHei"/>
          <w:sz w:val="28"/>
          <w:szCs w:val="28"/>
          <w:spacing w:val="122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3"/>
        </w:rPr>
        <w:t>公用房分类</w:t>
      </w:r>
    </w:p>
    <w:p>
      <w:pPr>
        <w:ind w:left="203" w:right="255" w:firstLine="570"/>
        <w:spacing w:before="315" w:line="283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8"/>
        </w:rPr>
        <w:t>第四条</w:t>
      </w:r>
      <w:r>
        <w:rPr>
          <w:rFonts w:ascii="SimHei" w:hAnsi="SimHei" w:eastAsia="SimHei" w:cs="SimHei"/>
          <w:sz w:val="29"/>
          <w:szCs w:val="29"/>
          <w:spacing w:val="116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8"/>
        </w:rPr>
        <w:t>公用房按照使用性质分为行政办公用房</w:t>
      </w:r>
      <w:r>
        <w:rPr>
          <w:rFonts w:ascii="FangSong" w:hAnsi="FangSong" w:eastAsia="FangSong" w:cs="FangSong"/>
          <w:sz w:val="29"/>
          <w:szCs w:val="29"/>
          <w:spacing w:val="-9"/>
        </w:rPr>
        <w:t>、教学实验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2"/>
        </w:rPr>
        <w:t>用房、科研用房、公寓用房、公共服务用房及其他用房等六类。</w:t>
      </w:r>
    </w:p>
    <w:p>
      <w:pPr>
        <w:ind w:left="203" w:right="253" w:firstLine="570"/>
        <w:spacing w:before="221" w:line="306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2"/>
        </w:rPr>
        <w:t>第五条</w:t>
      </w:r>
      <w:r>
        <w:rPr>
          <w:rFonts w:ascii="SimHei" w:hAnsi="SimHei" w:eastAsia="SimHei" w:cs="SimHei"/>
          <w:sz w:val="28"/>
          <w:szCs w:val="28"/>
          <w:spacing w:val="12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"/>
        </w:rPr>
        <w:t>行政办公用房是指校属各单位履行行政职能</w:t>
      </w:r>
      <w:r>
        <w:rPr>
          <w:rFonts w:ascii="FangSong" w:hAnsi="FangSong" w:eastAsia="FangSong" w:cs="FangSong"/>
          <w:sz w:val="28"/>
          <w:szCs w:val="28"/>
          <w:spacing w:val="1"/>
        </w:rPr>
        <w:t>的办公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用房。包括机关单位、教学单位、群团组织等机构的办公室、会</w:t>
      </w:r>
      <w:r>
        <w:rPr>
          <w:rFonts w:ascii="FangSong" w:hAnsi="FangSong" w:eastAsia="FangSong" w:cs="FangSong"/>
          <w:sz w:val="28"/>
          <w:szCs w:val="28"/>
          <w:spacing w:val="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议室、接待室、资料室、文印室等日常办公所使用的各类房屋。</w:t>
      </w:r>
    </w:p>
    <w:p>
      <w:pPr>
        <w:spacing w:line="306" w:lineRule="auto"/>
        <w:sectPr>
          <w:footerReference w:type="default" r:id="rId4"/>
          <w:pgSz w:w="11910" w:h="16840"/>
          <w:pgMar w:top="1431" w:right="1786" w:bottom="2170" w:left="1786" w:header="0" w:footer="1896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253" w:right="374" w:firstLine="539"/>
        <w:spacing w:before="98" w:line="30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4"/>
        </w:rPr>
        <w:t>第六条</w:t>
      </w:r>
      <w:r>
        <w:rPr>
          <w:rFonts w:ascii="SimHei" w:hAnsi="SimHei" w:eastAsia="SimHei" w:cs="SimHei"/>
          <w:sz w:val="30"/>
          <w:szCs w:val="30"/>
          <w:spacing w:val="-24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-24"/>
        </w:rPr>
        <w:t>教学实验用房是指用于完成教学任务的各类房屋，</w:t>
      </w:r>
      <w:r>
        <w:rPr>
          <w:rFonts w:ascii="FangSong" w:hAnsi="FangSong" w:eastAsia="FangSong" w:cs="FangSong"/>
          <w:sz w:val="30"/>
          <w:szCs w:val="30"/>
          <w:spacing w:val="1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5"/>
        </w:rPr>
        <w:t>包括教室、实验室、实习实训场所、语音室、演播厅、各类考试</w:t>
      </w:r>
      <w:r>
        <w:rPr>
          <w:rFonts w:ascii="FangSong" w:hAnsi="FangSong" w:eastAsia="FangSong" w:cs="FangSong"/>
          <w:sz w:val="30"/>
          <w:szCs w:val="30"/>
          <w:spacing w:val="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4"/>
        </w:rPr>
        <w:t>用场地及附属用房。</w:t>
      </w:r>
    </w:p>
    <w:p>
      <w:pPr>
        <w:ind w:left="253" w:right="371" w:firstLine="539"/>
        <w:spacing w:before="192" w:line="305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14"/>
        </w:rPr>
        <w:t>第七条</w:t>
      </w:r>
      <w:r>
        <w:rPr>
          <w:rFonts w:ascii="SimHei" w:hAnsi="SimHei" w:eastAsia="SimHei" w:cs="SimHei"/>
          <w:sz w:val="29"/>
          <w:szCs w:val="29"/>
          <w:spacing w:val="126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4"/>
        </w:rPr>
        <w:t>科研用房是指用于保障学校科研活动正常开</w:t>
      </w:r>
      <w:r>
        <w:rPr>
          <w:rFonts w:ascii="FangSong" w:hAnsi="FangSong" w:eastAsia="FangSong" w:cs="FangSong"/>
          <w:sz w:val="29"/>
          <w:szCs w:val="29"/>
          <w:spacing w:val="-15"/>
        </w:rPr>
        <w:t>展配置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5"/>
        </w:rPr>
        <w:t>的工作用房，包括研究室、实验室、讨论室、展厅、资料室等专</w:t>
      </w:r>
      <w:r>
        <w:rPr>
          <w:rFonts w:ascii="FangSong" w:hAnsi="FangSong" w:eastAsia="FangSong" w:cs="FangSong"/>
          <w:sz w:val="29"/>
          <w:szCs w:val="29"/>
          <w:spacing w:val="10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8"/>
        </w:rPr>
        <w:t>业用房。</w:t>
      </w:r>
    </w:p>
    <w:p>
      <w:pPr>
        <w:ind w:left="253" w:right="367" w:firstLine="539"/>
        <w:spacing w:before="194" w:line="28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13"/>
        </w:rPr>
        <w:t>第八条</w:t>
      </w:r>
      <w:r>
        <w:rPr>
          <w:rFonts w:ascii="SimHei" w:hAnsi="SimHei" w:eastAsia="SimHei" w:cs="SimHei"/>
          <w:sz w:val="30"/>
          <w:szCs w:val="30"/>
          <w:spacing w:val="-13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-13"/>
        </w:rPr>
        <w:t>公寓用房是指用于满足师生住宿所使用的各类房</w:t>
      </w:r>
      <w:r>
        <w:rPr>
          <w:rFonts w:ascii="FangSong" w:hAnsi="FangSong" w:eastAsia="FangSong" w:cs="FangSong"/>
          <w:sz w:val="30"/>
          <w:szCs w:val="30"/>
          <w:spacing w:val="1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屋，包括学生公寓、外教公寓、留学生公寓等。</w:t>
      </w:r>
    </w:p>
    <w:p>
      <w:pPr>
        <w:ind w:left="253" w:right="352" w:firstLine="539"/>
        <w:spacing w:before="190" w:line="30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4"/>
        </w:rPr>
        <w:t>第九条</w:t>
      </w:r>
      <w:r>
        <w:rPr>
          <w:rFonts w:ascii="SimHei" w:hAnsi="SimHei" w:eastAsia="SimHei" w:cs="SimHei"/>
          <w:sz w:val="30"/>
          <w:szCs w:val="30"/>
          <w:spacing w:val="12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4"/>
        </w:rPr>
        <w:t>公共服务用房是指服务于全校的公共活动所使用的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4"/>
        </w:rPr>
        <w:t>各类房屋，包括图书馆、校医院、食堂、体育馆、会堂、公共网</w:t>
      </w:r>
      <w:r>
        <w:rPr>
          <w:rFonts w:ascii="FangSong" w:hAnsi="FangSong" w:eastAsia="FangSong" w:cs="FangSong"/>
          <w:sz w:val="30"/>
          <w:szCs w:val="30"/>
          <w:spacing w:val="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9"/>
        </w:rPr>
        <w:t>络机房及部分基础条件用房(如配电房、消防控制室、卫</w:t>
      </w:r>
      <w:r>
        <w:rPr>
          <w:rFonts w:ascii="FangSong" w:hAnsi="FangSong" w:eastAsia="FangSong" w:cs="FangSong"/>
          <w:sz w:val="30"/>
          <w:szCs w:val="30"/>
          <w:spacing w:val="-20"/>
        </w:rPr>
        <w:t>生间等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9"/>
        </w:rPr>
        <w:t>按照相关标准和强制性要求配套设计的专门</w:t>
      </w:r>
      <w:r>
        <w:rPr>
          <w:rFonts w:ascii="FangSong" w:hAnsi="FangSong" w:eastAsia="FangSong" w:cs="FangSong"/>
          <w:sz w:val="30"/>
          <w:szCs w:val="30"/>
          <w:spacing w:val="-20"/>
        </w:rPr>
        <w:t>用房)等。</w:t>
      </w:r>
    </w:p>
    <w:p>
      <w:pPr>
        <w:ind w:left="253" w:right="344" w:firstLine="539"/>
        <w:spacing w:before="222" w:line="27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11"/>
        </w:rPr>
        <w:t>第十条</w:t>
      </w:r>
      <w:r>
        <w:rPr>
          <w:rFonts w:ascii="SimHei" w:hAnsi="SimHei" w:eastAsia="SimHei" w:cs="SimHei"/>
          <w:sz w:val="30"/>
          <w:szCs w:val="30"/>
          <w:spacing w:val="-11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-11"/>
        </w:rPr>
        <w:t>其他用房包括停车库(场)、经营性用</w:t>
      </w:r>
      <w:r>
        <w:rPr>
          <w:rFonts w:ascii="FangSong" w:hAnsi="FangSong" w:eastAsia="FangSong" w:cs="FangSong"/>
          <w:sz w:val="30"/>
          <w:szCs w:val="30"/>
          <w:spacing w:val="-12"/>
        </w:rPr>
        <w:t>房、人防工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0"/>
        </w:rPr>
        <w:t>程等。</w:t>
      </w:r>
    </w:p>
    <w:p>
      <w:pPr>
        <w:pStyle w:val="BodyText"/>
        <w:spacing w:line="249" w:lineRule="auto"/>
        <w:rPr/>
      </w:pPr>
      <w:r/>
    </w:p>
    <w:p>
      <w:pPr>
        <w:ind w:left="2893"/>
        <w:spacing w:before="94" w:line="220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14"/>
        </w:rPr>
        <w:t>第三章</w:t>
      </w:r>
      <w:r>
        <w:rPr>
          <w:rFonts w:ascii="SimHei" w:hAnsi="SimHei" w:eastAsia="SimHei" w:cs="SimHei"/>
          <w:sz w:val="29"/>
          <w:szCs w:val="29"/>
          <w:spacing w:val="116"/>
        </w:rPr>
        <w:t xml:space="preserve"> </w:t>
      </w:r>
      <w:r>
        <w:rPr>
          <w:rFonts w:ascii="SimHei" w:hAnsi="SimHei" w:eastAsia="SimHei" w:cs="SimHei"/>
          <w:sz w:val="29"/>
          <w:szCs w:val="29"/>
          <w:spacing w:val="-14"/>
        </w:rPr>
        <w:t>公用房管理</w:t>
      </w:r>
    </w:p>
    <w:p>
      <w:pPr>
        <w:ind w:left="253" w:right="374" w:firstLine="539"/>
        <w:spacing w:before="322" w:line="28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4"/>
        </w:rPr>
        <w:t>第十一条</w:t>
      </w:r>
      <w:r>
        <w:rPr>
          <w:rFonts w:ascii="SimHei" w:hAnsi="SimHei" w:eastAsia="SimHei" w:cs="SimHei"/>
          <w:sz w:val="30"/>
          <w:szCs w:val="30"/>
          <w:spacing w:val="-24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-24"/>
        </w:rPr>
        <w:t>学校公用房实行“学校所有、部门归口、使用单</w:t>
      </w:r>
      <w:r>
        <w:rPr>
          <w:rFonts w:ascii="FangSong" w:hAnsi="FangSong" w:eastAsia="FangSong" w:cs="FangSong"/>
          <w:sz w:val="30"/>
          <w:szCs w:val="30"/>
          <w:spacing w:val="1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6"/>
        </w:rPr>
        <w:t>位日常管理”的分级分类管理体制。</w:t>
      </w:r>
    </w:p>
    <w:p>
      <w:pPr>
        <w:ind w:left="253" w:right="359" w:firstLine="539"/>
        <w:spacing w:before="229" w:line="27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3"/>
        </w:rPr>
        <w:t>第十二条</w:t>
      </w:r>
      <w:r>
        <w:rPr>
          <w:rFonts w:ascii="SimHei" w:hAnsi="SimHei" w:eastAsia="SimHei" w:cs="SimHei"/>
          <w:sz w:val="30"/>
          <w:szCs w:val="30"/>
          <w:spacing w:val="-23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-23"/>
        </w:rPr>
        <w:t>学校国有资产管理委员会是公用房管理的决策与</w:t>
      </w:r>
      <w:r>
        <w:rPr>
          <w:rFonts w:ascii="FangSong" w:hAnsi="FangSong" w:eastAsia="FangSong" w:cs="FangSong"/>
          <w:sz w:val="30"/>
          <w:szCs w:val="30"/>
          <w:spacing w:val="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6"/>
        </w:rPr>
        <w:t>统一领导机构，主要职责：</w:t>
      </w:r>
    </w:p>
    <w:p>
      <w:pPr>
        <w:ind w:left="923"/>
        <w:spacing w:before="197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6"/>
        </w:rPr>
        <w:t>(一)研究审议公用房管理规章制度；</w:t>
      </w:r>
    </w:p>
    <w:p>
      <w:pPr>
        <w:ind w:left="913"/>
        <w:spacing w:before="19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7"/>
        </w:rPr>
        <w:t>(二)研究审议公用房资源配置及重大调配方案；</w:t>
      </w:r>
    </w:p>
    <w:p>
      <w:pPr>
        <w:spacing w:line="222" w:lineRule="auto"/>
        <w:sectPr>
          <w:footerReference w:type="default" r:id="rId5"/>
          <w:pgSz w:w="11910" w:h="16840"/>
          <w:pgMar w:top="1431" w:right="1786" w:bottom="1808" w:left="1786" w:header="0" w:footer="1523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893"/>
        <w:spacing w:before="9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6"/>
        </w:rPr>
        <w:t>(三)研究审议公用房资源使用、处置重大事项；</w:t>
      </w:r>
    </w:p>
    <w:p>
      <w:pPr>
        <w:ind w:left="893"/>
        <w:spacing w:before="206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6"/>
        </w:rPr>
        <w:t>(四)监督公用房管理规章制度执行情况；</w:t>
      </w:r>
    </w:p>
    <w:p>
      <w:pPr>
        <w:ind w:left="893"/>
        <w:spacing w:before="17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1"/>
        </w:rPr>
        <w:t>(五)研究决定其他重大事项。</w:t>
      </w:r>
    </w:p>
    <w:p>
      <w:pPr>
        <w:ind w:left="243" w:right="353" w:firstLine="549"/>
        <w:spacing w:before="198" w:line="33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4"/>
        </w:rPr>
        <w:t>第十三条</w:t>
      </w:r>
      <w:r>
        <w:rPr>
          <w:rFonts w:ascii="SimHei" w:hAnsi="SimHei" w:eastAsia="SimHei" w:cs="SimHei"/>
          <w:sz w:val="30"/>
          <w:szCs w:val="30"/>
          <w:spacing w:val="13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4"/>
        </w:rPr>
        <w:t>资产管理处是学校公用房统筹管理的职能部门，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1"/>
        </w:rPr>
        <w:t>主要职责：</w:t>
      </w:r>
    </w:p>
    <w:p>
      <w:pPr>
        <w:ind w:left="893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7"/>
        </w:rPr>
        <w:t>(一)拟定公用房管理办法并组织实施；</w:t>
      </w:r>
    </w:p>
    <w:p>
      <w:pPr>
        <w:ind w:left="893"/>
        <w:spacing w:before="193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8"/>
        </w:rPr>
        <w:t>(二)负责公用房权属登记、台账管理及数据统计上报；</w:t>
      </w:r>
    </w:p>
    <w:p>
      <w:pPr>
        <w:ind w:left="893"/>
        <w:spacing w:before="209" w:line="22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</w:rPr>
        <w:t>(三)统筹公用房调配、核查及处置工作；</w:t>
      </w:r>
    </w:p>
    <w:p>
      <w:pPr>
        <w:ind w:left="893"/>
        <w:spacing w:before="197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8"/>
        </w:rPr>
        <w:t>(四)建立并维护全校公用房信息化管理平台；</w:t>
      </w:r>
    </w:p>
    <w:p>
      <w:pPr>
        <w:ind w:left="893"/>
        <w:spacing w:before="183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4"/>
        </w:rPr>
        <w:t>(五)负责公用房管理的其他工作。</w:t>
      </w:r>
    </w:p>
    <w:p>
      <w:pPr>
        <w:ind w:left="243" w:right="335" w:firstLine="559"/>
        <w:spacing w:before="213" w:line="33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3"/>
        </w:rPr>
        <w:t>第十四条</w:t>
      </w:r>
      <w:r>
        <w:rPr>
          <w:rFonts w:ascii="SimHei" w:hAnsi="SimHei" w:eastAsia="SimHei" w:cs="SimHei"/>
          <w:sz w:val="30"/>
          <w:szCs w:val="30"/>
          <w:spacing w:val="-23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-23"/>
        </w:rPr>
        <w:t>各归口管理部门根据工作职责，负责本业务领域</w:t>
      </w:r>
      <w:r>
        <w:rPr>
          <w:rFonts w:ascii="FangSong" w:hAnsi="FangSong" w:eastAsia="FangSong" w:cs="FangSong"/>
          <w:sz w:val="30"/>
          <w:szCs w:val="30"/>
          <w:spacing w:val="1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8"/>
        </w:rPr>
        <w:t>公用房的统筹管理：</w:t>
      </w:r>
    </w:p>
    <w:p>
      <w:pPr>
        <w:ind w:left="243" w:right="253" w:firstLine="649"/>
        <w:spacing w:before="4" w:line="28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3"/>
        </w:rPr>
        <w:t>(一)行政办公用房：由资产管理处根据国家及重庆市规定，</w:t>
      </w:r>
      <w:r>
        <w:rPr>
          <w:rFonts w:ascii="FangSong" w:hAnsi="FangSong" w:eastAsia="FangSong" w:cs="FangSong"/>
          <w:sz w:val="30"/>
          <w:szCs w:val="30"/>
          <w:spacing w:val="1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结合部门编制进行定额配置，严禁超标。</w:t>
      </w:r>
    </w:p>
    <w:p>
      <w:pPr>
        <w:ind w:left="243" w:right="335" w:firstLine="649"/>
        <w:spacing w:before="170" w:line="32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7"/>
        </w:rPr>
        <w:t>(二)教学实验用房：学校全日制教学教室由教务处负责统</w:t>
      </w:r>
      <w:r>
        <w:rPr>
          <w:rFonts w:ascii="FangSong" w:hAnsi="FangSong" w:eastAsia="FangSong" w:cs="FangSong"/>
          <w:sz w:val="30"/>
          <w:szCs w:val="30"/>
          <w:spacing w:val="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5"/>
        </w:rPr>
        <w:t>筹规划与管理。涉及研究生、留学生教学的教室安排，由教务处</w:t>
      </w:r>
      <w:r>
        <w:rPr>
          <w:rFonts w:ascii="FangSong" w:hAnsi="FangSong" w:eastAsia="FangSong" w:cs="FangSong"/>
          <w:sz w:val="30"/>
          <w:szCs w:val="30"/>
          <w:spacing w:val="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2"/>
        </w:rPr>
        <w:t>会同研究生院、国际学院(出国培训部)统筹规</w:t>
      </w:r>
      <w:r>
        <w:rPr>
          <w:rFonts w:ascii="FangSong" w:hAnsi="FangSong" w:eastAsia="FangSong" w:cs="FangSong"/>
          <w:sz w:val="30"/>
          <w:szCs w:val="30"/>
          <w:spacing w:val="-13"/>
        </w:rPr>
        <w:t>划、调整使用；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4"/>
        </w:rPr>
        <w:t>分配给网络与继续教育学院、国际学院(出国培训部)等单位长</w:t>
      </w:r>
      <w:r>
        <w:rPr>
          <w:rFonts w:ascii="FangSong" w:hAnsi="FangSong" w:eastAsia="FangSong" w:cs="FangSong"/>
          <w:sz w:val="30"/>
          <w:szCs w:val="30"/>
          <w:spacing w:val="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3"/>
        </w:rPr>
        <w:t>期使用的教室，由其归口管理；公共实验用房由网络信息中心根</w:t>
      </w:r>
      <w:r>
        <w:rPr>
          <w:rFonts w:ascii="FangSong" w:hAnsi="FangSong" w:eastAsia="FangSong" w:cs="FangSong"/>
          <w:sz w:val="30"/>
          <w:szCs w:val="30"/>
          <w:spacing w:val="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3"/>
        </w:rPr>
        <w:t>据教学实验需要统一管理，专用实验用房由</w:t>
      </w:r>
      <w:r>
        <w:rPr>
          <w:rFonts w:ascii="FangSong" w:hAnsi="FangSong" w:eastAsia="FangSong" w:cs="FangSong"/>
          <w:sz w:val="30"/>
          <w:szCs w:val="30"/>
          <w:spacing w:val="-14"/>
        </w:rPr>
        <w:t>所属学院(部门)负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8"/>
        </w:rPr>
        <w:t>责日常管理。</w:t>
      </w:r>
    </w:p>
    <w:p>
      <w:pPr>
        <w:ind w:left="893"/>
        <w:spacing w:before="18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6"/>
        </w:rPr>
        <w:t>(三)科研用房：专职科研机构及配套用房，由科研处结合</w:t>
      </w:r>
    </w:p>
    <w:p>
      <w:pPr>
        <w:spacing w:line="222" w:lineRule="auto"/>
        <w:sectPr>
          <w:footerReference w:type="default" r:id="rId6"/>
          <w:pgSz w:w="11910" w:h="16840"/>
          <w:pgMar w:top="1431" w:right="1786" w:bottom="1840" w:left="1786" w:header="0" w:footer="1566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ind w:left="273" w:right="329"/>
        <w:spacing w:before="94" w:line="339" w:lineRule="auto"/>
        <w:jc w:val="both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15"/>
        </w:rPr>
        <w:t>学校学科发展规划、各类科研项目实际需求统一分配、调整，并</w:t>
      </w:r>
      <w:r>
        <w:rPr>
          <w:rFonts w:ascii="FangSong" w:hAnsi="FangSong" w:eastAsia="FangSong" w:cs="FangSong"/>
          <w:sz w:val="29"/>
          <w:szCs w:val="29"/>
          <w:spacing w:val="16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4"/>
        </w:rPr>
        <w:t>建立完整科研用房台账；其余科研用房，由房屋所属单位履行日</w:t>
      </w:r>
      <w:r>
        <w:rPr>
          <w:rFonts w:ascii="FangSong" w:hAnsi="FangSong" w:eastAsia="FangSong" w:cs="FangSong"/>
          <w:sz w:val="29"/>
          <w:szCs w:val="29"/>
          <w:spacing w:val="5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8"/>
        </w:rPr>
        <w:t>常管理职责。</w:t>
      </w:r>
    </w:p>
    <w:p>
      <w:pPr>
        <w:ind w:left="273" w:right="305" w:firstLine="660"/>
        <w:spacing w:before="20" w:line="313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1"/>
        </w:rPr>
        <w:t>(四)公寓用房：实行分类管理。全日制本科及研究生(含</w:t>
      </w:r>
      <w:r>
        <w:rPr>
          <w:rFonts w:ascii="FangSong" w:hAnsi="FangSong" w:eastAsia="FangSong" w:cs="FangSong"/>
          <w:sz w:val="29"/>
          <w:szCs w:val="29"/>
          <w:spacing w:val="17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8"/>
        </w:rPr>
        <w:t>硕士、博士)住宿公寓，由学生处统筹房源分配并承担日常管理</w:t>
      </w:r>
      <w:r>
        <w:rPr>
          <w:rFonts w:ascii="FangSong" w:hAnsi="FangSong" w:eastAsia="FangSong" w:cs="FangSong"/>
          <w:sz w:val="29"/>
          <w:szCs w:val="29"/>
          <w:spacing w:val="5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4"/>
        </w:rPr>
        <w:t>工作；外教公寓与留学生公寓，由后勤基建管理处牵头负</w:t>
      </w:r>
      <w:r>
        <w:rPr>
          <w:rFonts w:ascii="FangSong" w:hAnsi="FangSong" w:eastAsia="FangSong" w:cs="FangSong"/>
          <w:sz w:val="29"/>
          <w:szCs w:val="29"/>
          <w:spacing w:val="-15"/>
        </w:rPr>
        <w:t>责日常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5"/>
        </w:rPr>
        <w:t>管理，国际合作与交流处协助。</w:t>
      </w:r>
    </w:p>
    <w:p>
      <w:pPr>
        <w:ind w:left="273" w:right="293" w:firstLine="660"/>
        <w:spacing w:before="216" w:line="303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5"/>
        </w:rPr>
        <w:t>(五)公共服务用房及其他用房：图书馆(档案馆)、校医</w:t>
      </w:r>
      <w:r>
        <w:rPr>
          <w:rFonts w:ascii="FangSong" w:hAnsi="FangSong" w:eastAsia="FangSong" w:cs="FangSong"/>
          <w:sz w:val="29"/>
          <w:szCs w:val="29"/>
          <w:spacing w:val="18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3"/>
        </w:rPr>
        <w:t>院、网络信息中心、保卫处、后勤基建管理处等根据工作职责，</w:t>
      </w:r>
      <w:r>
        <w:rPr>
          <w:rFonts w:ascii="FangSong" w:hAnsi="FangSong" w:eastAsia="FangSong" w:cs="FangSong"/>
          <w:sz w:val="29"/>
          <w:szCs w:val="29"/>
          <w:spacing w:val="12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6"/>
        </w:rPr>
        <w:t>负责相应公共服务用房及其他用房的日常管理。</w:t>
      </w:r>
    </w:p>
    <w:p>
      <w:pPr>
        <w:ind w:left="273" w:right="271" w:firstLine="580"/>
        <w:spacing w:before="210" w:line="35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3"/>
        </w:rPr>
        <w:t>第十五条</w:t>
      </w:r>
      <w:r>
        <w:rPr>
          <w:rFonts w:ascii="SimHei" w:hAnsi="SimHei" w:eastAsia="SimHei" w:cs="SimHei"/>
          <w:sz w:val="28"/>
          <w:szCs w:val="28"/>
          <w:spacing w:val="-3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3"/>
        </w:rPr>
        <w:t>各使用单位是公用房管理的直接责任主体，主要</w:t>
      </w:r>
      <w:r>
        <w:rPr>
          <w:rFonts w:ascii="FangSong" w:hAnsi="FangSong" w:eastAsia="FangSong" w:cs="FangSong"/>
          <w:sz w:val="28"/>
          <w:szCs w:val="28"/>
          <w:spacing w:val="1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职责：</w:t>
      </w:r>
    </w:p>
    <w:p>
      <w:pPr>
        <w:ind w:left="933"/>
        <w:spacing w:before="1" w:line="220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9"/>
        </w:rPr>
        <w:t>(一)执行学校公用房管理办法，落实学校调配决议；</w:t>
      </w:r>
    </w:p>
    <w:p>
      <w:pPr>
        <w:ind w:left="933"/>
        <w:spacing w:before="182" w:line="220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9"/>
        </w:rPr>
        <w:t>(二)明确专人负责本单位公用房的日常管理并建立</w:t>
      </w:r>
      <w:r>
        <w:rPr>
          <w:rFonts w:ascii="FangSong" w:hAnsi="FangSong" w:eastAsia="FangSong" w:cs="FangSong"/>
          <w:sz w:val="29"/>
          <w:szCs w:val="29"/>
          <w:spacing w:val="-10"/>
        </w:rPr>
        <w:t>台账；</w:t>
      </w:r>
    </w:p>
    <w:p>
      <w:pPr>
        <w:ind w:left="273" w:right="306" w:firstLine="660"/>
        <w:spacing w:before="185" w:line="280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6"/>
        </w:rPr>
        <w:t>(三)负责公用房屋日常巡查、安全隐患排查，并及时上报</w:t>
      </w:r>
      <w:r>
        <w:rPr>
          <w:rFonts w:ascii="FangSong" w:hAnsi="FangSong" w:eastAsia="FangSong" w:cs="FangSong"/>
          <w:sz w:val="29"/>
          <w:szCs w:val="29"/>
          <w:spacing w:val="1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9"/>
        </w:rPr>
        <w:t>维修需求；</w:t>
      </w:r>
    </w:p>
    <w:p>
      <w:pPr>
        <w:ind w:left="933"/>
        <w:spacing w:before="210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7"/>
        </w:rPr>
        <w:t>(四)配合开展公用房核查、盘点与数据更新工作；</w:t>
      </w:r>
    </w:p>
    <w:p>
      <w:pPr>
        <w:ind w:left="933"/>
        <w:spacing w:before="193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6"/>
        </w:rPr>
        <w:t>(五)学校安排的其他公用房管理工作。</w:t>
      </w:r>
    </w:p>
    <w:p>
      <w:pPr>
        <w:ind w:left="2923"/>
        <w:spacing w:before="325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5"/>
        </w:rPr>
        <w:t>第四章</w:t>
      </w:r>
      <w:r>
        <w:rPr>
          <w:rFonts w:ascii="SimHei" w:hAnsi="SimHei" w:eastAsia="SimHei" w:cs="SimHei"/>
          <w:sz w:val="28"/>
          <w:szCs w:val="28"/>
          <w:spacing w:val="-5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5"/>
        </w:rPr>
        <w:t>配置与调整</w:t>
      </w:r>
    </w:p>
    <w:p>
      <w:pPr>
        <w:pStyle w:val="BodyText"/>
        <w:spacing w:line="267" w:lineRule="auto"/>
        <w:rPr/>
      </w:pPr>
      <w:r/>
    </w:p>
    <w:p>
      <w:pPr>
        <w:ind w:left="273" w:right="284" w:firstLine="570"/>
        <w:spacing w:before="92" w:line="36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3"/>
        </w:rPr>
        <w:t>第十六条</w:t>
      </w:r>
      <w:r>
        <w:rPr>
          <w:rFonts w:ascii="SimHei" w:hAnsi="SimHei" w:eastAsia="SimHei" w:cs="SimHei"/>
          <w:sz w:val="28"/>
          <w:szCs w:val="28"/>
          <w:spacing w:val="14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行政办公用房配置严格执行国家和重庆市有关规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5"/>
        </w:rPr>
        <w:t>定：</w:t>
      </w:r>
    </w:p>
    <w:p>
      <w:pPr>
        <w:spacing w:line="365" w:lineRule="auto"/>
        <w:sectPr>
          <w:footerReference w:type="default" r:id="rId7"/>
          <w:pgSz w:w="11910" w:h="16840"/>
          <w:pgMar w:top="1431" w:right="1786" w:bottom="1961" w:left="1786" w:header="0" w:footer="1702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pStyle w:val="BodyText"/>
        <w:spacing w:line="257" w:lineRule="auto"/>
        <w:rPr/>
      </w:pPr>
      <w:r/>
    </w:p>
    <w:p>
      <w:pPr>
        <w:pStyle w:val="BodyText"/>
        <w:spacing w:line="257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ind w:left="233" w:right="312" w:firstLine="659"/>
        <w:spacing w:before="94" w:line="275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2"/>
        </w:rPr>
        <w:t>(一)校级领导：正厅级办公用房面积不超过4</w:t>
      </w:r>
      <w:r>
        <w:rPr>
          <w:rFonts w:ascii="FangSong" w:hAnsi="FangSong" w:eastAsia="FangSong" w:cs="FangSong"/>
          <w:sz w:val="29"/>
          <w:szCs w:val="29"/>
          <w:spacing w:val="-3"/>
        </w:rPr>
        <w:t>2</w:t>
      </w:r>
      <w:r>
        <w:rPr>
          <w:rFonts w:ascii="Times New Roman" w:hAnsi="Times New Roman" w:eastAsia="Times New Roman" w:cs="Times New Roman"/>
          <w:sz w:val="29"/>
          <w:szCs w:val="29"/>
          <w:spacing w:val="-3"/>
        </w:rPr>
        <w:t>m²,</w:t>
      </w:r>
      <w:r>
        <w:rPr>
          <w:rFonts w:ascii="Times New Roman" w:hAnsi="Times New Roman" w:eastAsia="Times New Roman" w:cs="Times New Roman"/>
          <w:sz w:val="29"/>
          <w:szCs w:val="29"/>
          <w:spacing w:val="65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3"/>
        </w:rPr>
        <w:t>副厅级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1"/>
        </w:rPr>
        <w:t>办公用房面积不超过30</w:t>
      </w:r>
      <w:r>
        <w:rPr>
          <w:rFonts w:ascii="FangSong" w:hAnsi="FangSong" w:eastAsia="FangSong" w:cs="FangSong"/>
          <w:sz w:val="29"/>
          <w:szCs w:val="29"/>
          <w:spacing w:val="-1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11"/>
        </w:rPr>
        <w:t>m²;</w:t>
      </w:r>
    </w:p>
    <w:p>
      <w:pPr>
        <w:ind w:left="233" w:right="312" w:firstLine="659"/>
        <w:spacing w:before="197" w:line="275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3"/>
        </w:rPr>
        <w:t>(二)处级干部：正处级办公用房面积不超过24</w:t>
      </w:r>
      <w:r>
        <w:rPr>
          <w:rFonts w:ascii="FangSong" w:hAnsi="FangSong" w:eastAsia="FangSong" w:cs="FangSong"/>
          <w:sz w:val="30"/>
          <w:szCs w:val="30"/>
          <w:spacing w:val="-69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13"/>
        </w:rPr>
        <w:t>m²,</w:t>
      </w:r>
      <w:r>
        <w:rPr>
          <w:rFonts w:ascii="Times New Roman" w:hAnsi="Times New Roman" w:eastAsia="Times New Roman" w:cs="Times New Roman"/>
          <w:sz w:val="30"/>
          <w:szCs w:val="30"/>
          <w:spacing w:val="4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3"/>
        </w:rPr>
        <w:t>副处级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0"/>
        </w:rPr>
        <w:t>办公用房面积不超过18</w:t>
      </w:r>
      <w:r>
        <w:rPr>
          <w:rFonts w:ascii="Times New Roman" w:hAnsi="Times New Roman" w:eastAsia="Times New Roman" w:cs="Times New Roman"/>
          <w:sz w:val="30"/>
          <w:szCs w:val="30"/>
          <w:spacing w:val="-10"/>
        </w:rPr>
        <w:t>m²;</w:t>
      </w:r>
    </w:p>
    <w:p>
      <w:pPr>
        <w:ind w:left="233" w:right="307" w:firstLine="659"/>
        <w:spacing w:before="219" w:line="288" w:lineRule="auto"/>
        <w:rPr>
          <w:rFonts w:ascii="SimSun" w:hAnsi="SimSun" w:eastAsia="SimSun" w:cs="SimSun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5"/>
        </w:rPr>
        <w:t>(三)科级及以下：原则上实行集中办公，人均使用面积不</w:t>
      </w:r>
      <w:r>
        <w:rPr>
          <w:rFonts w:ascii="FangSong" w:hAnsi="FangSong" w:eastAsia="FangSong" w:cs="FangSong"/>
          <w:sz w:val="29"/>
          <w:szCs w:val="29"/>
          <w:spacing w:val="14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13"/>
        </w:rPr>
        <w:t>超过9</w:t>
      </w:r>
      <w:r>
        <w:rPr>
          <w:rFonts w:ascii="Times New Roman" w:hAnsi="Times New Roman" w:eastAsia="Times New Roman" w:cs="Times New Roman"/>
          <w:sz w:val="29"/>
          <w:szCs w:val="29"/>
          <w:spacing w:val="13"/>
        </w:rPr>
        <w:t>m²</w:t>
      </w:r>
      <w:r>
        <w:rPr>
          <w:rFonts w:ascii="SimSun" w:hAnsi="SimSun" w:eastAsia="SimSun" w:cs="SimSun"/>
          <w:sz w:val="29"/>
          <w:szCs w:val="29"/>
          <w:spacing w:val="13"/>
        </w:rPr>
        <w:t>。</w:t>
      </w:r>
    </w:p>
    <w:p>
      <w:pPr>
        <w:ind w:left="783"/>
        <w:spacing w:before="168" w:line="222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16"/>
        </w:rPr>
        <w:t>第十七条</w:t>
      </w:r>
      <w:r>
        <w:rPr>
          <w:rFonts w:ascii="SimHei" w:hAnsi="SimHei" w:eastAsia="SimHei" w:cs="SimHei"/>
          <w:sz w:val="29"/>
          <w:szCs w:val="29"/>
          <w:spacing w:val="141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6"/>
        </w:rPr>
        <w:t>公用房的调配按以下权限审批：</w:t>
      </w:r>
    </w:p>
    <w:p>
      <w:pPr>
        <w:ind w:left="233" w:right="291" w:firstLine="659"/>
        <w:spacing w:before="161" w:line="298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7"/>
        </w:rPr>
        <w:t>(一)调整面积不超过100</w:t>
      </w:r>
      <w:r>
        <w:rPr>
          <w:rFonts w:ascii="Times New Roman" w:hAnsi="Times New Roman" w:eastAsia="Times New Roman" w:cs="Times New Roman"/>
          <w:sz w:val="29"/>
          <w:szCs w:val="29"/>
          <w:spacing w:val="7"/>
        </w:rPr>
        <w:t>m² ( </w:t>
      </w:r>
      <w:r>
        <w:rPr>
          <w:rFonts w:ascii="FangSong" w:hAnsi="FangSong" w:eastAsia="FangSong" w:cs="FangSong"/>
          <w:sz w:val="29"/>
          <w:szCs w:val="29"/>
          <w:spacing w:val="7"/>
        </w:rPr>
        <w:t>含)的，由资产管理处提出</w:t>
      </w:r>
      <w:r>
        <w:rPr>
          <w:rFonts w:ascii="FangSong" w:hAnsi="FangSong" w:eastAsia="FangSong" w:cs="FangSong"/>
          <w:sz w:val="29"/>
          <w:szCs w:val="29"/>
          <w:spacing w:val="6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6"/>
        </w:rPr>
        <w:t>建议方案，报分管国有资产的校领导审批；</w:t>
      </w:r>
    </w:p>
    <w:p>
      <w:pPr>
        <w:ind w:left="233" w:right="306" w:firstLine="659"/>
        <w:spacing w:before="172" w:line="27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4"/>
        </w:rPr>
        <w:t>(二)调整面积超过100</w:t>
      </w:r>
      <w:r>
        <w:rPr>
          <w:rFonts w:ascii="FangSong" w:hAnsi="FangSong" w:eastAsia="FangSong" w:cs="FangSong"/>
          <w:sz w:val="30"/>
          <w:szCs w:val="30"/>
          <w:spacing w:val="-14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14"/>
        </w:rPr>
        <w:t>m²</w:t>
      </w:r>
      <w:r>
        <w:rPr>
          <w:rFonts w:ascii="FangSong" w:hAnsi="FangSong" w:eastAsia="FangSong" w:cs="FangSong"/>
          <w:sz w:val="30"/>
          <w:szCs w:val="30"/>
          <w:spacing w:val="-14"/>
        </w:rPr>
        <w:t>的，由校国有资产管理委员会审</w:t>
      </w:r>
      <w:r>
        <w:rPr>
          <w:rFonts w:ascii="FangSong" w:hAnsi="FangSong" w:eastAsia="FangSong" w:cs="FangSong"/>
          <w:sz w:val="30"/>
          <w:szCs w:val="30"/>
          <w:spacing w:val="1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4"/>
        </w:rPr>
        <w:t>议后报校长办公会、党委常委会审议审定。</w:t>
      </w:r>
    </w:p>
    <w:p>
      <w:pPr>
        <w:ind w:left="233" w:right="300" w:firstLine="550"/>
        <w:spacing w:before="204" w:line="29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1"/>
        </w:rPr>
        <w:t>第十八条</w:t>
      </w:r>
      <w:r>
        <w:rPr>
          <w:rFonts w:ascii="SimHei" w:hAnsi="SimHei" w:eastAsia="SimHei" w:cs="SimHei"/>
          <w:sz w:val="30"/>
          <w:szCs w:val="30"/>
          <w:spacing w:val="12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公用房的房间编号、结构及用途等原则上不予变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更。确因工作需要变更的，须经使用单位集体研究，并报资产管</w:t>
      </w:r>
      <w:r>
        <w:rPr>
          <w:rFonts w:ascii="FangSong" w:hAnsi="FangSong" w:eastAsia="FangSong" w:cs="FangSong"/>
          <w:sz w:val="30"/>
          <w:szCs w:val="30"/>
          <w:spacing w:val="1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3"/>
        </w:rPr>
        <w:t>理处审核备案。</w:t>
      </w:r>
    </w:p>
    <w:p>
      <w:pPr>
        <w:ind w:left="233" w:right="308" w:firstLine="550"/>
        <w:spacing w:before="182" w:line="29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1"/>
        </w:rPr>
        <w:t>第十九条</w:t>
      </w:r>
      <w:r>
        <w:rPr>
          <w:rFonts w:ascii="SimHei" w:hAnsi="SimHei" w:eastAsia="SimHei" w:cs="SimHei"/>
          <w:sz w:val="30"/>
          <w:szCs w:val="30"/>
          <w:spacing w:val="10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因学校机构变动、学科整合或职能</w:t>
      </w:r>
      <w:r>
        <w:rPr>
          <w:rFonts w:ascii="FangSong" w:hAnsi="FangSong" w:eastAsia="FangSong" w:cs="FangSong"/>
          <w:sz w:val="30"/>
          <w:szCs w:val="30"/>
          <w:spacing w:val="-22"/>
        </w:rPr>
        <w:t>转变等原因需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2"/>
        </w:rPr>
        <w:t>调整用房的，由资产管理处会同相关部门重新核定用房面积并实</w:t>
      </w:r>
      <w:r>
        <w:rPr>
          <w:rFonts w:ascii="FangSong" w:hAnsi="FangSong" w:eastAsia="FangSong" w:cs="FangSong"/>
          <w:sz w:val="30"/>
          <w:szCs w:val="30"/>
          <w:spacing w:val="1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1"/>
        </w:rPr>
        <w:t>施调整。</w:t>
      </w:r>
    </w:p>
    <w:p>
      <w:pPr>
        <w:pStyle w:val="BodyText"/>
        <w:spacing w:line="250" w:lineRule="auto"/>
        <w:rPr/>
      </w:pPr>
      <w:r/>
    </w:p>
    <w:p>
      <w:pPr>
        <w:ind w:left="2883"/>
        <w:spacing w:before="91" w:line="221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4"/>
        </w:rPr>
        <w:t>第五章</w:t>
      </w:r>
      <w:r>
        <w:rPr>
          <w:rFonts w:ascii="SimHei" w:hAnsi="SimHei" w:eastAsia="SimHei" w:cs="SimHei"/>
          <w:sz w:val="28"/>
          <w:szCs w:val="28"/>
          <w:spacing w:val="133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4"/>
        </w:rPr>
        <w:t>使用与监督</w:t>
      </w:r>
    </w:p>
    <w:p>
      <w:pPr>
        <w:pStyle w:val="BodyText"/>
        <w:spacing w:line="250" w:lineRule="auto"/>
        <w:rPr/>
      </w:pPr>
      <w:r/>
    </w:p>
    <w:p>
      <w:pPr>
        <w:ind w:left="783"/>
        <w:spacing w:before="92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6"/>
        </w:rPr>
        <w:t>第二十条</w:t>
      </w:r>
      <w:r>
        <w:rPr>
          <w:rFonts w:ascii="SimHei" w:hAnsi="SimHei" w:eastAsia="SimHei" w:cs="SimHei"/>
          <w:sz w:val="28"/>
          <w:szCs w:val="28"/>
          <w:spacing w:val="-6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6"/>
        </w:rPr>
        <w:t>学校建立公用房常态化核查机</w:t>
      </w:r>
      <w:r>
        <w:rPr>
          <w:rFonts w:ascii="FangSong" w:hAnsi="FangSong" w:eastAsia="FangSong" w:cs="FangSong"/>
          <w:sz w:val="28"/>
          <w:szCs w:val="28"/>
          <w:spacing w:val="-7"/>
        </w:rPr>
        <w:t>制：</w:t>
      </w:r>
    </w:p>
    <w:p>
      <w:pPr>
        <w:ind w:left="893"/>
        <w:spacing w:before="194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9"/>
        </w:rPr>
        <w:t>(一)各使用单位每学期开展一次自查，发</w:t>
      </w:r>
      <w:r>
        <w:rPr>
          <w:rFonts w:ascii="FangSong" w:hAnsi="FangSong" w:eastAsia="FangSong" w:cs="FangSong"/>
          <w:sz w:val="30"/>
          <w:szCs w:val="30"/>
          <w:spacing w:val="-20"/>
        </w:rPr>
        <w:t>现问题及时整改；</w:t>
      </w:r>
    </w:p>
    <w:p>
      <w:pPr>
        <w:ind w:left="893"/>
        <w:spacing w:before="18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4"/>
        </w:rPr>
        <w:t>(二)资产管理处每年组织开展一次全校公用房盘点，形成</w:t>
      </w:r>
    </w:p>
    <w:p>
      <w:pPr>
        <w:spacing w:line="222" w:lineRule="auto"/>
        <w:sectPr>
          <w:footerReference w:type="default" r:id="rId8"/>
          <w:pgSz w:w="11910" w:h="16840"/>
          <w:pgMar w:top="1431" w:right="1786" w:bottom="1970" w:left="1786" w:header="0" w:footer="169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383"/>
        <w:spacing w:before="9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8"/>
        </w:rPr>
        <w:t>盘点报告。</w:t>
      </w:r>
    </w:p>
    <w:p>
      <w:pPr>
        <w:ind w:left="383" w:right="316" w:firstLine="539"/>
        <w:spacing w:before="188" w:line="27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7"/>
        </w:rPr>
        <w:t>第二十一条</w:t>
      </w:r>
      <w:r>
        <w:rPr>
          <w:rFonts w:ascii="SimHei" w:hAnsi="SimHei" w:eastAsia="SimHei" w:cs="SimHei"/>
          <w:sz w:val="30"/>
          <w:szCs w:val="30"/>
          <w:spacing w:val="12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公用房的日常维护、维修由后勤基建管理</w:t>
      </w:r>
      <w:r>
        <w:rPr>
          <w:rFonts w:ascii="FangSong" w:hAnsi="FangSong" w:eastAsia="FangSong" w:cs="FangSong"/>
          <w:sz w:val="30"/>
          <w:szCs w:val="30"/>
          <w:spacing w:val="-28"/>
        </w:rPr>
        <w:t>处负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9"/>
        </w:rPr>
        <w:t>责。消防安全管理、监督与治安管理由保卫处负责。</w:t>
      </w:r>
    </w:p>
    <w:p>
      <w:pPr>
        <w:ind w:left="383" w:right="336" w:firstLine="539"/>
        <w:spacing w:before="181" w:line="294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18"/>
        </w:rPr>
        <w:t>第二十二条</w:t>
      </w:r>
      <w:r>
        <w:rPr>
          <w:rFonts w:ascii="SimHei" w:hAnsi="SimHei" w:eastAsia="SimHei" w:cs="SimHei"/>
          <w:sz w:val="29"/>
          <w:szCs w:val="29"/>
          <w:spacing w:val="131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8"/>
        </w:rPr>
        <w:t>各单位应安全、合理地使用公用房。有下列情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22"/>
        </w:rPr>
        <w:t>形之一的，视为违规：</w:t>
      </w:r>
    </w:p>
    <w:p>
      <w:pPr>
        <w:ind w:left="1033"/>
        <w:spacing w:before="166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9"/>
        </w:rPr>
        <w:t>(一)单位或个人私自占用公用房的；</w:t>
      </w:r>
    </w:p>
    <w:p>
      <w:pPr>
        <w:ind w:left="1033"/>
        <w:spacing w:before="176" w:line="21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1"/>
        </w:rPr>
        <w:t>(二)擅自转让、调换、出租、出借或改变房屋用途的；</w:t>
      </w:r>
    </w:p>
    <w:p>
      <w:pPr>
        <w:ind w:left="1033"/>
        <w:spacing w:before="187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2"/>
        </w:rPr>
        <w:t>(三)擅自将公用房当作资产投资、入股、抵押的；</w:t>
      </w:r>
    </w:p>
    <w:p>
      <w:pPr>
        <w:ind w:left="1033"/>
        <w:spacing w:before="196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1"/>
        </w:rPr>
        <w:t>(四)擅自改建、扩建、改变房屋结构或建筑外观的；</w:t>
      </w:r>
    </w:p>
    <w:p>
      <w:pPr>
        <w:ind w:left="1033"/>
        <w:spacing w:before="186" w:line="22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(五)其他违反公用房使用要求的行为。</w:t>
      </w:r>
    </w:p>
    <w:p>
      <w:pPr>
        <w:ind w:left="383" w:right="203" w:firstLine="539"/>
        <w:spacing w:before="195" w:line="34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7"/>
        </w:rPr>
        <w:t>第二十三条</w:t>
      </w:r>
      <w:r>
        <w:rPr>
          <w:rFonts w:ascii="SimHei" w:hAnsi="SimHei" w:eastAsia="SimHei" w:cs="SimHei"/>
          <w:sz w:val="30"/>
          <w:szCs w:val="30"/>
          <w:spacing w:val="11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对违规使用公用房的单位或个人，学校</w:t>
      </w:r>
      <w:r>
        <w:rPr>
          <w:rFonts w:ascii="FangSong" w:hAnsi="FangSong" w:eastAsia="FangSong" w:cs="FangSong"/>
          <w:sz w:val="30"/>
          <w:szCs w:val="30"/>
          <w:spacing w:val="-28"/>
        </w:rPr>
        <w:t>有权责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3"/>
        </w:rPr>
        <w:t>令限期改正；造成不良影响或损失的，按相关法律法规追究责任。</w:t>
      </w:r>
    </w:p>
    <w:p>
      <w:pPr>
        <w:ind w:left="3263"/>
        <w:spacing w:before="148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11"/>
        </w:rPr>
        <w:t>第六章</w:t>
      </w:r>
      <w:r>
        <w:rPr>
          <w:rFonts w:ascii="SimHei" w:hAnsi="SimHei" w:eastAsia="SimHei" w:cs="SimHei"/>
          <w:sz w:val="28"/>
          <w:szCs w:val="28"/>
          <w:spacing w:val="-11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11"/>
        </w:rPr>
        <w:t>附</w:t>
      </w:r>
      <w:r>
        <w:rPr>
          <w:rFonts w:ascii="SimHei" w:hAnsi="SimHei" w:eastAsia="SimHei" w:cs="SimHei"/>
          <w:sz w:val="28"/>
          <w:szCs w:val="28"/>
          <w:spacing w:val="-11"/>
        </w:rPr>
        <w:t xml:space="preserve">  </w:t>
      </w:r>
      <w:r>
        <w:rPr>
          <w:rFonts w:ascii="SimHei" w:hAnsi="SimHei" w:eastAsia="SimHei" w:cs="SimHei"/>
          <w:sz w:val="28"/>
          <w:szCs w:val="28"/>
          <w:spacing w:val="-11"/>
        </w:rPr>
        <w:t>则</w:t>
      </w:r>
    </w:p>
    <w:p>
      <w:pPr>
        <w:pStyle w:val="BodyText"/>
        <w:spacing w:line="268" w:lineRule="auto"/>
        <w:rPr/>
      </w:pPr>
      <w:r/>
    </w:p>
    <w:p>
      <w:pPr>
        <w:ind w:left="383" w:right="332" w:firstLine="539"/>
        <w:spacing w:before="91" w:line="28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8"/>
        </w:rPr>
        <w:t>第二十四条</w:t>
      </w:r>
      <w:r>
        <w:rPr>
          <w:rFonts w:ascii="SimHei" w:hAnsi="SimHei" w:eastAsia="SimHei" w:cs="SimHei"/>
          <w:sz w:val="28"/>
          <w:szCs w:val="28"/>
          <w:spacing w:val="-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8"/>
        </w:rPr>
        <w:t>本办法中未尽事宜，遵照国家及上级部门有关</w:t>
      </w:r>
      <w:r>
        <w:rPr>
          <w:rFonts w:ascii="FangSong" w:hAnsi="FangSong" w:eastAsia="FangSong" w:cs="FangSong"/>
          <w:sz w:val="28"/>
          <w:szCs w:val="28"/>
          <w:spacing w:val="1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规定执行。</w:t>
      </w:r>
    </w:p>
    <w:p>
      <w:pPr>
        <w:ind w:left="383" w:right="332" w:firstLine="539"/>
        <w:spacing w:before="207" w:line="281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17"/>
        </w:rPr>
        <w:t>第二十五条</w:t>
      </w:r>
      <w:r>
        <w:rPr>
          <w:rFonts w:ascii="SimHei" w:hAnsi="SimHei" w:eastAsia="SimHei" w:cs="SimHei"/>
          <w:sz w:val="29"/>
          <w:szCs w:val="29"/>
          <w:spacing w:val="-17"/>
        </w:rPr>
        <w:t xml:space="preserve">  </w:t>
      </w:r>
      <w:r>
        <w:rPr>
          <w:rFonts w:ascii="FangSong" w:hAnsi="FangSong" w:eastAsia="FangSong" w:cs="FangSong"/>
          <w:sz w:val="29"/>
          <w:szCs w:val="29"/>
          <w:spacing w:val="-17"/>
        </w:rPr>
        <w:t>本办法由学校授权资产管理处负责解释，自发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8"/>
        </w:rPr>
        <w:t>布之日起施行。</w:t>
      </w:r>
    </w:p>
    <w:p>
      <w:pPr>
        <w:spacing w:line="281" w:lineRule="auto"/>
        <w:sectPr>
          <w:footerReference w:type="default" r:id="rId9"/>
          <w:pgSz w:w="11910" w:h="16840"/>
          <w:pgMar w:top="1431" w:right="1786" w:bottom="1948" w:left="1786" w:header="0" w:footer="1663" w:gutter="0"/>
        </w:sectPr>
        <w:rPr>
          <w:rFonts w:ascii="FangSong" w:hAnsi="FangSong" w:eastAsia="FangSong" w:cs="FangSong"/>
          <w:sz w:val="29"/>
          <w:szCs w:val="29"/>
        </w:rPr>
      </w:pPr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tbl>
      <w:tblPr>
        <w:tblStyle w:val="TableNormal"/>
        <w:tblW w:w="7381" w:type="dxa"/>
        <w:tblInd w:w="483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3914"/>
        <w:gridCol w:w="3467"/>
      </w:tblGrid>
      <w:tr>
        <w:trPr>
          <w:trHeight w:val="520" w:hRule="atLeast"/>
        </w:trPr>
        <w:tc>
          <w:tcPr>
            <w:tcW w:w="391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ind w:left="20"/>
              <w:spacing w:before="135" w:line="219" w:lineRule="auto"/>
              <w:rPr>
                <w:rFonts w:ascii="SimSun" w:hAnsi="SimSun" w:eastAsia="SimSun" w:cs="SimSun"/>
                <w:sz w:val="26"/>
                <w:szCs w:val="26"/>
              </w:rPr>
            </w:pPr>
            <w:r>
              <w:rPr>
                <w:rFonts w:ascii="SimSun" w:hAnsi="SimSun" w:eastAsia="SimSun" w:cs="SimSun"/>
                <w:sz w:val="26"/>
                <w:szCs w:val="26"/>
                <w:spacing w:val="1"/>
              </w:rPr>
              <w:t>四川外国语大学办公室</w:t>
            </w:r>
          </w:p>
        </w:tc>
        <w:tc>
          <w:tcPr>
            <w:tcW w:w="346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spacing w:before="135" w:line="219" w:lineRule="auto"/>
              <w:jc w:val="right"/>
              <w:rPr>
                <w:rFonts w:ascii="SimSun" w:hAnsi="SimSun" w:eastAsia="SimSun" w:cs="SimSun"/>
                <w:sz w:val="26"/>
                <w:szCs w:val="26"/>
              </w:rPr>
            </w:pPr>
            <w:r>
              <w:rPr>
                <w:rFonts w:ascii="SimSun" w:hAnsi="SimSun" w:eastAsia="SimSun" w:cs="SimSun"/>
                <w:sz w:val="26"/>
                <w:szCs w:val="26"/>
                <w:spacing w:val="1"/>
              </w:rPr>
              <w:t>2026年9月7日印发</w:t>
            </w:r>
          </w:p>
        </w:tc>
      </w:tr>
    </w:tbl>
    <w:p>
      <w:pPr>
        <w:pStyle w:val="BodyText"/>
        <w:spacing w:line="248" w:lineRule="auto"/>
        <w:rPr/>
      </w:pPr>
      <w:r/>
    </w:p>
    <w:p>
      <w:pPr>
        <w:ind w:left="343"/>
        <w:spacing w:before="78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—8—</w:t>
      </w:r>
    </w:p>
    <w:sectPr>
      <w:footerReference w:type="default" r:id="rId10"/>
      <w:pgSz w:w="11910" w:h="16840"/>
      <w:pgMar w:top="1431" w:right="1786" w:bottom="400" w:left="1786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63"/>
      <w:spacing w:line="232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03"/>
      <w:spacing w:line="232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231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spacing w:val="-3"/>
      </w:rPr>
      <w:t>—3—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43"/>
      <w:spacing w:line="232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413"/>
      <w:spacing w:line="23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—5—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33"/>
      <w:spacing w:line="230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—6—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413"/>
      <w:spacing w:line="231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spacing w:val="-3"/>
      </w:rPr>
      <w:t>—7—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3" Type="http://schemas.openxmlformats.org/officeDocument/2006/relationships/fontTable" Target="fontTable.xml"/><Relationship Id="rId12" Type="http://schemas.openxmlformats.org/officeDocument/2006/relationships/styles" Target="styles.xml"/><Relationship Id="rId11" Type="http://schemas.openxmlformats.org/officeDocument/2006/relationships/settings" Target="settings.xml"/><Relationship Id="rId10" Type="http://schemas.openxmlformats.org/officeDocument/2006/relationships/footer" Target="footer8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2026-11-04T11:08:23Z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2026-11-04T11:08:23</vt:filetime>
  </property>
  <property fmtid="{D5CDD505-2E9C-101B-9397-08002B2CF9AE}" pid="4" name="UsrData">
    <vt:lpwstr>6aeaa1a5346b4d001f1156cbwl</vt:lpwstr>
  </property>
</Properties>
</file>